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0A65" w14:textId="77777777" w:rsidR="00606BE6" w:rsidRPr="00606BE6" w:rsidRDefault="00606BE6" w:rsidP="00606BE6">
      <w:pPr>
        <w:shd w:val="clear" w:color="auto" w:fill="FFFFFF"/>
        <w:spacing w:after="0" w:line="240" w:lineRule="auto"/>
        <w:outlineLvl w:val="0"/>
        <w:rPr>
          <w:rFonts w:ascii="Georgia" w:eastAsia="Times New Roman" w:hAnsi="Georgia" w:cs="Helvetica"/>
          <w:color w:val="191919"/>
          <w:kern w:val="36"/>
          <w:sz w:val="48"/>
          <w:szCs w:val="48"/>
          <w:lang w:eastAsia="en-CA"/>
        </w:rPr>
      </w:pPr>
      <w:r w:rsidRPr="00606BE6">
        <w:rPr>
          <w:rFonts w:ascii="Georgia" w:eastAsia="Times New Roman" w:hAnsi="Georgia" w:cs="Helvetica"/>
          <w:color w:val="191919"/>
          <w:kern w:val="36"/>
          <w:sz w:val="48"/>
          <w:szCs w:val="48"/>
          <w:lang w:eastAsia="en-CA"/>
        </w:rPr>
        <w:t>It’s looking a lot like the 1970s again. And that’s good for dividend stocks</w:t>
      </w:r>
    </w:p>
    <w:p w14:paraId="0DC6B0F7" w14:textId="77777777" w:rsidR="00606BE6" w:rsidRPr="00606BE6" w:rsidRDefault="00000000" w:rsidP="00606BE6">
      <w:pPr>
        <w:shd w:val="clear" w:color="auto" w:fill="FFFFFF"/>
        <w:spacing w:after="0" w:line="240" w:lineRule="auto"/>
        <w:rPr>
          <w:rFonts w:ascii="Helvetica" w:eastAsia="Times New Roman" w:hAnsi="Helvetica" w:cs="Helvetica"/>
          <w:caps/>
          <w:color w:val="595959"/>
          <w:sz w:val="24"/>
          <w:szCs w:val="24"/>
          <w:lang w:eastAsia="en-CA"/>
        </w:rPr>
      </w:pPr>
      <w:hyperlink r:id="rId4" w:history="1">
        <w:r w:rsidR="00606BE6" w:rsidRPr="00606BE6">
          <w:rPr>
            <w:rFonts w:ascii="Helvetica" w:eastAsia="Times New Roman" w:hAnsi="Helvetica" w:cs="Helvetica"/>
            <w:caps/>
            <w:color w:val="191919"/>
            <w:sz w:val="24"/>
            <w:szCs w:val="24"/>
            <w:u w:val="single"/>
            <w:lang w:eastAsia="en-CA"/>
          </w:rPr>
          <w:t>DAVID BERMAN</w:t>
        </w:r>
      </w:hyperlink>
      <w:r w:rsidR="00606BE6" w:rsidRPr="00606BE6">
        <w:rPr>
          <w:rFonts w:ascii="Helvetica" w:eastAsia="Times New Roman" w:hAnsi="Helvetica" w:cs="Helvetica"/>
          <w:caps/>
          <w:color w:val="595959"/>
          <w:sz w:val="24"/>
          <w:szCs w:val="24"/>
          <w:lang w:eastAsia="en-CA"/>
        </w:rPr>
        <w:t>INVESTMENT REPORTER</w:t>
      </w:r>
    </w:p>
    <w:p w14:paraId="1A7FB957" w14:textId="77777777" w:rsidR="00606BE6" w:rsidRPr="00606BE6" w:rsidRDefault="00606BE6" w:rsidP="00606BE6">
      <w:pPr>
        <w:shd w:val="clear" w:color="auto" w:fill="FFFFFF"/>
        <w:spacing w:after="0" w:line="240" w:lineRule="auto"/>
        <w:rPr>
          <w:rFonts w:ascii="Helvetica" w:eastAsia="Times New Roman" w:hAnsi="Helvetica" w:cs="Helvetica"/>
          <w:caps/>
          <w:color w:val="595959"/>
          <w:sz w:val="24"/>
          <w:szCs w:val="24"/>
          <w:lang w:eastAsia="en-CA"/>
        </w:rPr>
      </w:pPr>
      <w:r w:rsidRPr="00606BE6">
        <w:rPr>
          <w:rFonts w:ascii="Helvetica" w:eastAsia="Times New Roman" w:hAnsi="Helvetica" w:cs="Helvetica"/>
          <w:caps/>
          <w:color w:val="595959"/>
          <w:sz w:val="24"/>
          <w:szCs w:val="24"/>
          <w:lang w:eastAsia="en-CA"/>
        </w:rPr>
        <w:t>PUBLISHED OCTOBER 3, 2022</w:t>
      </w:r>
    </w:p>
    <w:p w14:paraId="6E4C202F" w14:textId="77777777" w:rsidR="00606BE6" w:rsidRPr="00606BE6" w:rsidRDefault="00606BE6" w:rsidP="00606BE6">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06BE6">
        <w:rPr>
          <w:rFonts w:ascii="Georgia" w:eastAsia="Times New Roman" w:hAnsi="Georgia" w:cs="Helvetica"/>
          <w:color w:val="191919"/>
          <w:sz w:val="24"/>
          <w:szCs w:val="24"/>
          <w:lang w:eastAsia="en-CA"/>
        </w:rPr>
        <w:t>Soaring </w:t>
      </w:r>
      <w:hyperlink r:id="rId5" w:tgtFrame="_blank" w:history="1">
        <w:r w:rsidRPr="00606BE6">
          <w:rPr>
            <w:rFonts w:ascii="Georgia" w:eastAsia="Times New Roman" w:hAnsi="Georgia" w:cs="Helvetica"/>
            <w:color w:val="191919"/>
            <w:sz w:val="24"/>
            <w:szCs w:val="24"/>
            <w:u w:val="single"/>
            <w:lang w:eastAsia="en-CA"/>
          </w:rPr>
          <w:t>inflation</w:t>
        </w:r>
      </w:hyperlink>
      <w:r w:rsidRPr="00606BE6">
        <w:rPr>
          <w:rFonts w:ascii="Georgia" w:eastAsia="Times New Roman" w:hAnsi="Georgia" w:cs="Helvetica"/>
          <w:color w:val="191919"/>
          <w:sz w:val="24"/>
          <w:szCs w:val="24"/>
          <w:lang w:eastAsia="en-CA"/>
        </w:rPr>
        <w:t> and rising </w:t>
      </w:r>
      <w:hyperlink r:id="rId6" w:tgtFrame="_blank" w:history="1">
        <w:r w:rsidRPr="00606BE6">
          <w:rPr>
            <w:rFonts w:ascii="Georgia" w:eastAsia="Times New Roman" w:hAnsi="Georgia" w:cs="Helvetica"/>
            <w:color w:val="191919"/>
            <w:sz w:val="24"/>
            <w:szCs w:val="24"/>
            <w:u w:val="single"/>
            <w:lang w:eastAsia="en-CA"/>
          </w:rPr>
          <w:t>interest rates</w:t>
        </w:r>
      </w:hyperlink>
      <w:r w:rsidRPr="00606BE6">
        <w:rPr>
          <w:rFonts w:ascii="Georgia" w:eastAsia="Times New Roman" w:hAnsi="Georgia" w:cs="Helvetica"/>
          <w:color w:val="191919"/>
          <w:sz w:val="24"/>
          <w:szCs w:val="24"/>
          <w:lang w:eastAsia="en-CA"/>
        </w:rPr>
        <w:t> have put dividend investors on edge this year. Is there still a compelling reason to stick with dividend stocks in an environment where bond yields have become attractive and beaten-up technology stocks are looking cheap?</w:t>
      </w:r>
    </w:p>
    <w:p w14:paraId="797B9E50" w14:textId="77777777" w:rsidR="00606BE6" w:rsidRPr="00606BE6" w:rsidRDefault="00606BE6" w:rsidP="00606BE6">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06BE6">
        <w:rPr>
          <w:rFonts w:ascii="Georgia" w:eastAsia="Times New Roman" w:hAnsi="Georgia" w:cs="Helvetica"/>
          <w:color w:val="191919"/>
          <w:sz w:val="24"/>
          <w:szCs w:val="24"/>
          <w:lang w:eastAsia="en-CA"/>
        </w:rPr>
        <w:t>Quantitative analysts at CIBC World Markets provided some answers to this question in a report last week, with some encouraging conclusions for investors who embrace quarterly distributions: Dividends will likely play an outsized role in returns for several years.</w:t>
      </w:r>
    </w:p>
    <w:p w14:paraId="16754AFE" w14:textId="77777777" w:rsidR="00606BE6" w:rsidRPr="00606BE6" w:rsidRDefault="00606BE6" w:rsidP="00606BE6">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06BE6">
        <w:rPr>
          <w:rFonts w:ascii="Georgia" w:eastAsia="Times New Roman" w:hAnsi="Georgia" w:cs="Helvetica"/>
          <w:color w:val="191919"/>
          <w:sz w:val="24"/>
          <w:szCs w:val="24"/>
          <w:lang w:eastAsia="en-CA"/>
        </w:rPr>
        <w:t>Dividend stocks have been performing well since interest rates bottomed out during COVID-19 lockdowns in 2020.</w:t>
      </w:r>
    </w:p>
    <w:p w14:paraId="2CCAA35A" w14:textId="77777777" w:rsidR="00606BE6" w:rsidRPr="00606BE6" w:rsidRDefault="00606BE6" w:rsidP="00606BE6">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06BE6">
        <w:rPr>
          <w:rFonts w:ascii="Georgia" w:eastAsia="Times New Roman" w:hAnsi="Georgia" w:cs="Helvetica"/>
          <w:color w:val="191919"/>
          <w:sz w:val="24"/>
          <w:szCs w:val="24"/>
          <w:lang w:eastAsia="en-CA"/>
        </w:rPr>
        <w:t>As the economy recovered, inflation took hold and bond yields rose to multi-year highs, the strategy of holding the shares of stable companies that paid large distributions – including stocks known as “bond proxies,” because of their steady growth and regular payments – have outperformed other strategies.</w:t>
      </w:r>
    </w:p>
    <w:p w14:paraId="74E98C8F" w14:textId="77777777" w:rsidR="00606BE6" w:rsidRPr="00606BE6" w:rsidRDefault="00606BE6" w:rsidP="00606BE6">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06BE6">
        <w:rPr>
          <w:rFonts w:ascii="Georgia" w:eastAsia="Times New Roman" w:hAnsi="Georgia" w:cs="Helvetica"/>
          <w:color w:val="191919"/>
          <w:sz w:val="24"/>
          <w:szCs w:val="24"/>
          <w:lang w:eastAsia="en-CA"/>
        </w:rPr>
        <w:t xml:space="preserve">“Dividend yield has been one of the more powerful quantitative factors since the trough in U.S. 10-year rates in </w:t>
      </w:r>
      <w:proofErr w:type="gramStart"/>
      <w:r w:rsidRPr="00606BE6">
        <w:rPr>
          <w:rFonts w:ascii="Georgia" w:eastAsia="Times New Roman" w:hAnsi="Georgia" w:cs="Helvetica"/>
          <w:color w:val="191919"/>
          <w:sz w:val="24"/>
          <w:szCs w:val="24"/>
          <w:lang w:eastAsia="en-CA"/>
        </w:rPr>
        <w:t>August,</w:t>
      </w:r>
      <w:proofErr w:type="gramEnd"/>
      <w:r w:rsidRPr="00606BE6">
        <w:rPr>
          <w:rFonts w:ascii="Georgia" w:eastAsia="Times New Roman" w:hAnsi="Georgia" w:cs="Helvetica"/>
          <w:color w:val="191919"/>
          <w:sz w:val="24"/>
          <w:szCs w:val="24"/>
          <w:lang w:eastAsia="en-CA"/>
        </w:rPr>
        <w:t xml:space="preserve"> 2020. This fits with our fundamental work which argues for stocks with high and stable dividends, despite rising interest rates,” Ian de Verteuil, an analyst at CIBC World Markets, said in the note.</w:t>
      </w:r>
    </w:p>
    <w:p w14:paraId="3EC2341F" w14:textId="77777777" w:rsidR="00606BE6" w:rsidRPr="00606BE6" w:rsidRDefault="00606BE6" w:rsidP="00606BE6">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06BE6">
        <w:rPr>
          <w:rFonts w:ascii="Georgia" w:eastAsia="Times New Roman" w:hAnsi="Georgia" w:cs="Helvetica"/>
          <w:color w:val="191919"/>
          <w:sz w:val="24"/>
          <w:szCs w:val="24"/>
          <w:lang w:eastAsia="en-CA"/>
        </w:rPr>
        <w:t>This outperformance resembles the 1970s, he added, when dividends accounted for 72.7 per cent of annual equity returns, as represented by the total return of the S&amp;P 500.</w:t>
      </w:r>
    </w:p>
    <w:p w14:paraId="3B5671F0" w14:textId="77777777" w:rsidR="00606BE6" w:rsidRPr="00606BE6" w:rsidRDefault="00606BE6" w:rsidP="00606BE6">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06BE6">
        <w:rPr>
          <w:rFonts w:ascii="Georgia" w:eastAsia="Times New Roman" w:hAnsi="Georgia" w:cs="Helvetica"/>
          <w:color w:val="191919"/>
          <w:sz w:val="24"/>
          <w:szCs w:val="24"/>
          <w:lang w:eastAsia="en-CA"/>
        </w:rPr>
        <w:t>Despite the strong allure of dividends since then, their importance has often been far lower in terms of their contribution to total returns since the end of the 2007 to 2008 financial crisis.</w:t>
      </w:r>
    </w:p>
    <w:p w14:paraId="7E5DD482" w14:textId="77777777" w:rsidR="00606BE6" w:rsidRPr="00606BE6" w:rsidRDefault="00606BE6" w:rsidP="00606BE6">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06BE6">
        <w:rPr>
          <w:rFonts w:ascii="Georgia" w:eastAsia="Times New Roman" w:hAnsi="Georgia" w:cs="Helvetica"/>
          <w:color w:val="191919"/>
          <w:sz w:val="24"/>
          <w:szCs w:val="24"/>
          <w:lang w:eastAsia="en-CA"/>
        </w:rPr>
        <w:t>According to Mr. de Verteuil’s figures, dividends have accounted for just 17.9 per cent of total equity returns for the S&amp;P 500 since the end of 2009. Though the differences between these two periods are far less extreme for Canadian stocks, the role of dividends has also been decreasing since 2009.</w:t>
      </w:r>
    </w:p>
    <w:p w14:paraId="70AE74A3" w14:textId="77777777" w:rsidR="00606BE6" w:rsidRPr="00606BE6" w:rsidRDefault="00606BE6" w:rsidP="00606BE6">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06BE6">
        <w:rPr>
          <w:rFonts w:ascii="Georgia" w:eastAsia="Times New Roman" w:hAnsi="Georgia" w:cs="Helvetica"/>
          <w:color w:val="191919"/>
          <w:sz w:val="24"/>
          <w:szCs w:val="24"/>
          <w:lang w:eastAsia="en-CA"/>
        </w:rPr>
        <w:t>“For most of the past half century, and certainly since the financial crisis, equity investors have been ‘trained’ to focus mainly on capital appreciation. After all, strong price returns have made dividend yield a ‘nice-to-have’ but a non-crucial element in terms of investment returns,” he said in his note.</w:t>
      </w:r>
    </w:p>
    <w:p w14:paraId="6FBD8354" w14:textId="77777777" w:rsidR="00606BE6" w:rsidRPr="00606BE6" w:rsidRDefault="00606BE6" w:rsidP="00606BE6">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06BE6">
        <w:rPr>
          <w:rFonts w:ascii="Georgia" w:eastAsia="Times New Roman" w:hAnsi="Georgia" w:cs="Helvetica"/>
          <w:color w:val="191919"/>
          <w:sz w:val="24"/>
          <w:szCs w:val="24"/>
          <w:lang w:eastAsia="en-CA"/>
        </w:rPr>
        <w:t>This perspective needs to change, he believes.</w:t>
      </w:r>
    </w:p>
    <w:p w14:paraId="2029D564" w14:textId="77777777" w:rsidR="00606BE6" w:rsidRPr="00606BE6" w:rsidRDefault="00606BE6" w:rsidP="00606BE6">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06BE6">
        <w:rPr>
          <w:rFonts w:ascii="Georgia" w:eastAsia="Times New Roman" w:hAnsi="Georgia" w:cs="Helvetica"/>
          <w:color w:val="191919"/>
          <w:sz w:val="24"/>
          <w:szCs w:val="24"/>
          <w:lang w:eastAsia="en-CA"/>
        </w:rPr>
        <w:lastRenderedPageBreak/>
        <w:t>That’s because today’s environment of high inflation and rising interest rates is reminiscent of the late 1960s and early 1970s, when oil price shocks fed a turbulent decade with sparse equity returns (after factoring in inflation).</w:t>
      </w:r>
    </w:p>
    <w:p w14:paraId="7FEC0E54" w14:textId="77777777" w:rsidR="00606BE6" w:rsidRPr="00606BE6" w:rsidRDefault="00606BE6" w:rsidP="00606BE6">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06BE6">
        <w:rPr>
          <w:rFonts w:ascii="Georgia" w:eastAsia="Times New Roman" w:hAnsi="Georgia" w:cs="Helvetica"/>
          <w:color w:val="191919"/>
          <w:sz w:val="24"/>
          <w:szCs w:val="24"/>
          <w:lang w:eastAsia="en-CA"/>
        </w:rPr>
        <w:t>“We are already seeing fiscal and monetary policy acting in opposition, and this has the potential to make inflation more difficult to control,” Mr. de Verteuil said.</w:t>
      </w:r>
    </w:p>
    <w:p w14:paraId="1DEEA4C7" w14:textId="77777777" w:rsidR="00606BE6" w:rsidRPr="00606BE6" w:rsidRDefault="00606BE6" w:rsidP="00606BE6">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06BE6">
        <w:rPr>
          <w:rFonts w:ascii="Georgia" w:eastAsia="Times New Roman" w:hAnsi="Georgia" w:cs="Helvetica"/>
          <w:color w:val="191919"/>
          <w:sz w:val="24"/>
          <w:szCs w:val="24"/>
          <w:lang w:eastAsia="en-CA"/>
        </w:rPr>
        <w:t>In Britain, for example, proposed </w:t>
      </w:r>
      <w:hyperlink r:id="rId7" w:tgtFrame="_blank" w:history="1">
        <w:r w:rsidRPr="00606BE6">
          <w:rPr>
            <w:rFonts w:ascii="Georgia" w:eastAsia="Times New Roman" w:hAnsi="Georgia" w:cs="Helvetica"/>
            <w:color w:val="191919"/>
            <w:sz w:val="24"/>
            <w:szCs w:val="24"/>
            <w:u w:val="single"/>
            <w:lang w:eastAsia="en-CA"/>
          </w:rPr>
          <w:t>tax cuts </w:t>
        </w:r>
      </w:hyperlink>
      <w:r w:rsidRPr="00606BE6">
        <w:rPr>
          <w:rFonts w:ascii="Georgia" w:eastAsia="Times New Roman" w:hAnsi="Georgia" w:cs="Helvetica"/>
          <w:color w:val="191919"/>
          <w:sz w:val="24"/>
          <w:szCs w:val="24"/>
          <w:lang w:eastAsia="en-CA"/>
        </w:rPr>
        <w:t>will likely entrench deficits. Last week’s dramatic response to the proposals sent British borrowing costs soaring and </w:t>
      </w:r>
      <w:hyperlink r:id="rId8" w:tgtFrame="_blank" w:history="1">
        <w:r w:rsidRPr="00606BE6">
          <w:rPr>
            <w:rFonts w:ascii="Georgia" w:eastAsia="Times New Roman" w:hAnsi="Georgia" w:cs="Helvetica"/>
            <w:color w:val="191919"/>
            <w:sz w:val="24"/>
            <w:szCs w:val="24"/>
            <w:u w:val="single"/>
            <w:lang w:eastAsia="en-CA"/>
          </w:rPr>
          <w:t>undermined the pound</w:t>
        </w:r>
      </w:hyperlink>
      <w:r w:rsidRPr="00606BE6">
        <w:rPr>
          <w:rFonts w:ascii="Georgia" w:eastAsia="Times New Roman" w:hAnsi="Georgia" w:cs="Helvetica"/>
          <w:color w:val="191919"/>
          <w:sz w:val="24"/>
          <w:szCs w:val="24"/>
          <w:lang w:eastAsia="en-CA"/>
        </w:rPr>
        <w:t>, before the Bank of England intervened.</w:t>
      </w:r>
    </w:p>
    <w:p w14:paraId="67342E4C" w14:textId="77777777" w:rsidR="00606BE6" w:rsidRPr="00606BE6" w:rsidRDefault="00606BE6" w:rsidP="00606BE6">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06BE6">
        <w:rPr>
          <w:rFonts w:ascii="Georgia" w:eastAsia="Times New Roman" w:hAnsi="Georgia" w:cs="Helvetica"/>
          <w:color w:val="191919"/>
          <w:sz w:val="24"/>
          <w:szCs w:val="24"/>
          <w:lang w:eastAsia="en-CA"/>
        </w:rPr>
        <w:t>In an environment of sustained rising interest rates, the natural concern is that dividend yields will also rise, weighing on the performance of dividend stocks.</w:t>
      </w:r>
    </w:p>
    <w:p w14:paraId="57E108CD" w14:textId="77777777" w:rsidR="00606BE6" w:rsidRPr="00606BE6" w:rsidRDefault="00606BE6" w:rsidP="00606BE6">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06BE6">
        <w:rPr>
          <w:rFonts w:ascii="Georgia" w:eastAsia="Times New Roman" w:hAnsi="Georgia" w:cs="Helvetica"/>
          <w:color w:val="191919"/>
          <w:sz w:val="24"/>
          <w:szCs w:val="24"/>
          <w:lang w:eastAsia="en-CA"/>
        </w:rPr>
        <w:t xml:space="preserve">Indeed, Mr. de Verteuil noted that – over the past 25 years – typical bond-proxy sectors such as utilities, telecommunications, </w:t>
      </w:r>
      <w:proofErr w:type="gramStart"/>
      <w:r w:rsidRPr="00606BE6">
        <w:rPr>
          <w:rFonts w:ascii="Georgia" w:eastAsia="Times New Roman" w:hAnsi="Georgia" w:cs="Helvetica"/>
          <w:color w:val="191919"/>
          <w:sz w:val="24"/>
          <w:szCs w:val="24"/>
          <w:lang w:eastAsia="en-CA"/>
        </w:rPr>
        <w:t>financials</w:t>
      </w:r>
      <w:proofErr w:type="gramEnd"/>
      <w:r w:rsidRPr="00606BE6">
        <w:rPr>
          <w:rFonts w:ascii="Georgia" w:eastAsia="Times New Roman" w:hAnsi="Georgia" w:cs="Helvetica"/>
          <w:color w:val="191919"/>
          <w:sz w:val="24"/>
          <w:szCs w:val="24"/>
          <w:lang w:eastAsia="en-CA"/>
        </w:rPr>
        <w:t xml:space="preserve"> and real estate have lagged the broader market when interest rates rose.</w:t>
      </w:r>
    </w:p>
    <w:p w14:paraId="6F1B8F97" w14:textId="77777777" w:rsidR="00606BE6" w:rsidRPr="00606BE6" w:rsidRDefault="00606BE6" w:rsidP="00606BE6">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06BE6">
        <w:rPr>
          <w:rFonts w:ascii="Georgia" w:eastAsia="Times New Roman" w:hAnsi="Georgia" w:cs="Helvetica"/>
          <w:color w:val="191919"/>
          <w:sz w:val="24"/>
          <w:szCs w:val="24"/>
          <w:lang w:eastAsia="en-CA"/>
        </w:rPr>
        <w:t>But these past periods of rising interest rates coincided with accelerating economic activity.</w:t>
      </w:r>
    </w:p>
    <w:p w14:paraId="0F607C02" w14:textId="77777777" w:rsidR="00606BE6" w:rsidRPr="00606BE6" w:rsidRDefault="00606BE6" w:rsidP="00606BE6">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06BE6">
        <w:rPr>
          <w:rFonts w:ascii="Georgia" w:eastAsia="Times New Roman" w:hAnsi="Georgia" w:cs="Helvetica"/>
          <w:color w:val="191919"/>
          <w:sz w:val="24"/>
          <w:szCs w:val="24"/>
          <w:lang w:eastAsia="en-CA"/>
        </w:rPr>
        <w:t>Not so today, as economists grow increasingly concerned about the threat of a global recession, which brings back the comparison to the 1970s when dividend stocks played an outsized role in equity returns.</w:t>
      </w:r>
    </w:p>
    <w:p w14:paraId="03821ECA" w14:textId="77777777" w:rsidR="00606BE6" w:rsidRPr="00606BE6" w:rsidRDefault="00606BE6" w:rsidP="00606BE6">
      <w:pPr>
        <w:shd w:val="clear" w:color="auto" w:fill="FFFFFF"/>
        <w:spacing w:before="100" w:beforeAutospacing="1" w:after="100" w:afterAutospacing="1" w:line="240" w:lineRule="auto"/>
        <w:rPr>
          <w:rFonts w:ascii="Georgia" w:eastAsia="Times New Roman" w:hAnsi="Georgia" w:cs="Helvetica"/>
          <w:color w:val="191919"/>
          <w:sz w:val="24"/>
          <w:szCs w:val="24"/>
          <w:lang w:eastAsia="en-CA"/>
        </w:rPr>
      </w:pPr>
      <w:r w:rsidRPr="00606BE6">
        <w:rPr>
          <w:rFonts w:ascii="Georgia" w:eastAsia="Times New Roman" w:hAnsi="Georgia" w:cs="Helvetica"/>
          <w:color w:val="191919"/>
          <w:sz w:val="24"/>
          <w:szCs w:val="24"/>
          <w:lang w:eastAsia="en-CA"/>
        </w:rPr>
        <w:t>“The higher rates may affect asset allocation with higher fixed-income allocations,” Mr. de Verteuil said. “But within equities, higher yielding stocks can retain their appeal.”</w:t>
      </w:r>
    </w:p>
    <w:p w14:paraId="31E3D87E" w14:textId="77777777" w:rsidR="00606BE6" w:rsidRPr="00606BE6" w:rsidRDefault="00606BE6" w:rsidP="00606BE6">
      <w:pPr>
        <w:shd w:val="clear" w:color="auto" w:fill="FFFFFF"/>
        <w:spacing w:before="100" w:beforeAutospacing="1" w:after="0" w:line="240" w:lineRule="auto"/>
        <w:rPr>
          <w:rFonts w:ascii="Georgia" w:eastAsia="Times New Roman" w:hAnsi="Georgia" w:cs="Helvetica"/>
          <w:color w:val="191919"/>
          <w:sz w:val="24"/>
          <w:szCs w:val="24"/>
          <w:lang w:eastAsia="en-CA"/>
        </w:rPr>
      </w:pPr>
      <w:r w:rsidRPr="00606BE6">
        <w:rPr>
          <w:rFonts w:ascii="Georgia" w:eastAsia="Times New Roman" w:hAnsi="Georgia" w:cs="Helvetica"/>
          <w:color w:val="191919"/>
          <w:sz w:val="24"/>
          <w:szCs w:val="24"/>
          <w:lang w:eastAsia="en-CA"/>
        </w:rPr>
        <w:t>For investors who want to outperform the broader market, even as interest rates rise, dividend stocks look like a sound approach.</w:t>
      </w:r>
    </w:p>
    <w:p w14:paraId="4CCFE82A" w14:textId="77777777" w:rsidR="00884072" w:rsidRDefault="00884072"/>
    <w:sectPr w:rsidR="008840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BE6"/>
    <w:rsid w:val="003526C4"/>
    <w:rsid w:val="00606BE6"/>
    <w:rsid w:val="008840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30FF"/>
  <w15:chartTrackingRefBased/>
  <w15:docId w15:val="{3BCB471D-E743-4F9D-A733-6953AE0D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17774">
      <w:bodyDiv w:val="1"/>
      <w:marLeft w:val="0"/>
      <w:marRight w:val="0"/>
      <w:marTop w:val="0"/>
      <w:marBottom w:val="0"/>
      <w:divBdr>
        <w:top w:val="none" w:sz="0" w:space="0" w:color="auto"/>
        <w:left w:val="none" w:sz="0" w:space="0" w:color="auto"/>
        <w:bottom w:val="none" w:sz="0" w:space="0" w:color="auto"/>
        <w:right w:val="none" w:sz="0" w:space="0" w:color="auto"/>
      </w:divBdr>
      <w:divsChild>
        <w:div w:id="2089879892">
          <w:marLeft w:val="0"/>
          <w:marRight w:val="0"/>
          <w:marTop w:val="0"/>
          <w:marBottom w:val="0"/>
          <w:divBdr>
            <w:top w:val="none" w:sz="0" w:space="0" w:color="auto"/>
            <w:left w:val="none" w:sz="0" w:space="0" w:color="auto"/>
            <w:bottom w:val="none" w:sz="0" w:space="0" w:color="auto"/>
            <w:right w:val="none" w:sz="0" w:space="0" w:color="auto"/>
          </w:divBdr>
          <w:divsChild>
            <w:div w:id="435060621">
              <w:marLeft w:val="0"/>
              <w:marRight w:val="0"/>
              <w:marTop w:val="0"/>
              <w:marBottom w:val="0"/>
              <w:divBdr>
                <w:top w:val="none" w:sz="0" w:space="0" w:color="auto"/>
                <w:left w:val="none" w:sz="0" w:space="0" w:color="auto"/>
                <w:bottom w:val="none" w:sz="0" w:space="0" w:color="auto"/>
                <w:right w:val="none" w:sz="0" w:space="0" w:color="auto"/>
              </w:divBdr>
            </w:div>
          </w:divsChild>
        </w:div>
        <w:div w:id="559485900">
          <w:marLeft w:val="0"/>
          <w:marRight w:val="0"/>
          <w:marTop w:val="0"/>
          <w:marBottom w:val="0"/>
          <w:divBdr>
            <w:top w:val="none" w:sz="0" w:space="0" w:color="auto"/>
            <w:left w:val="none" w:sz="0" w:space="0" w:color="auto"/>
            <w:bottom w:val="none" w:sz="0" w:space="0" w:color="auto"/>
            <w:right w:val="none" w:sz="0" w:space="0" w:color="auto"/>
          </w:divBdr>
          <w:divsChild>
            <w:div w:id="266012236">
              <w:marLeft w:val="0"/>
              <w:marRight w:val="0"/>
              <w:marTop w:val="0"/>
              <w:marBottom w:val="0"/>
              <w:divBdr>
                <w:top w:val="single" w:sz="6" w:space="0" w:color="E5E5E5"/>
                <w:left w:val="none" w:sz="0" w:space="0" w:color="auto"/>
                <w:bottom w:val="none" w:sz="0" w:space="0" w:color="auto"/>
                <w:right w:val="none" w:sz="0" w:space="0" w:color="auto"/>
              </w:divBdr>
              <w:divsChild>
                <w:div w:id="1153332519">
                  <w:marLeft w:val="0"/>
                  <w:marRight w:val="0"/>
                  <w:marTop w:val="0"/>
                  <w:marBottom w:val="0"/>
                  <w:divBdr>
                    <w:top w:val="none" w:sz="0" w:space="0" w:color="auto"/>
                    <w:left w:val="none" w:sz="0" w:space="0" w:color="auto"/>
                    <w:bottom w:val="none" w:sz="0" w:space="0" w:color="auto"/>
                    <w:right w:val="none" w:sz="0" w:space="0" w:color="auto"/>
                  </w:divBdr>
                  <w:divsChild>
                    <w:div w:id="151259966">
                      <w:marLeft w:val="0"/>
                      <w:marRight w:val="0"/>
                      <w:marTop w:val="0"/>
                      <w:marBottom w:val="0"/>
                      <w:divBdr>
                        <w:top w:val="none" w:sz="0" w:space="0" w:color="auto"/>
                        <w:left w:val="none" w:sz="0" w:space="0" w:color="auto"/>
                        <w:bottom w:val="none" w:sz="0" w:space="0" w:color="auto"/>
                        <w:right w:val="none" w:sz="0" w:space="0" w:color="auto"/>
                      </w:divBdr>
                      <w:divsChild>
                        <w:div w:id="1566137156">
                          <w:marLeft w:val="0"/>
                          <w:marRight w:val="0"/>
                          <w:marTop w:val="0"/>
                          <w:marBottom w:val="0"/>
                          <w:divBdr>
                            <w:top w:val="none" w:sz="0" w:space="0" w:color="auto"/>
                            <w:left w:val="none" w:sz="0" w:space="0" w:color="auto"/>
                            <w:bottom w:val="none" w:sz="0" w:space="0" w:color="auto"/>
                            <w:right w:val="none" w:sz="0" w:space="0" w:color="auto"/>
                          </w:divBdr>
                        </w:div>
                        <w:div w:id="146415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635429">
              <w:marLeft w:val="0"/>
              <w:marRight w:val="0"/>
              <w:marTop w:val="0"/>
              <w:marBottom w:val="0"/>
              <w:divBdr>
                <w:top w:val="none" w:sz="0" w:space="0" w:color="auto"/>
                <w:left w:val="none" w:sz="0" w:space="0" w:color="auto"/>
                <w:bottom w:val="none" w:sz="0" w:space="0" w:color="auto"/>
                <w:right w:val="none" w:sz="0" w:space="0" w:color="auto"/>
              </w:divBdr>
              <w:divsChild>
                <w:div w:id="2108502512">
                  <w:marLeft w:val="0"/>
                  <w:marRight w:val="0"/>
                  <w:marTop w:val="0"/>
                  <w:marBottom w:val="0"/>
                  <w:divBdr>
                    <w:top w:val="single" w:sz="6" w:space="0" w:color="DCD9D7"/>
                    <w:left w:val="none" w:sz="0" w:space="0" w:color="auto"/>
                    <w:bottom w:val="none" w:sz="0" w:space="0" w:color="auto"/>
                    <w:right w:val="none" w:sz="0" w:space="0" w:color="auto"/>
                  </w:divBdr>
                  <w:divsChild>
                    <w:div w:id="238104139">
                      <w:marLeft w:val="0"/>
                      <w:marRight w:val="0"/>
                      <w:marTop w:val="0"/>
                      <w:marBottom w:val="0"/>
                      <w:divBdr>
                        <w:top w:val="none" w:sz="0" w:space="0" w:color="auto"/>
                        <w:left w:val="none" w:sz="0" w:space="0" w:color="auto"/>
                        <w:bottom w:val="none" w:sz="0" w:space="0" w:color="auto"/>
                        <w:right w:val="none" w:sz="0" w:space="0" w:color="auto"/>
                      </w:divBdr>
                    </w:div>
                  </w:divsChild>
                </w:div>
                <w:div w:id="1202212079">
                  <w:marLeft w:val="0"/>
                  <w:marRight w:val="0"/>
                  <w:marTop w:val="0"/>
                  <w:marBottom w:val="0"/>
                  <w:divBdr>
                    <w:top w:val="none" w:sz="0" w:space="0" w:color="auto"/>
                    <w:left w:val="none" w:sz="0" w:space="0" w:color="auto"/>
                    <w:bottom w:val="none" w:sz="0" w:space="0" w:color="auto"/>
                    <w:right w:val="none" w:sz="0" w:space="0" w:color="auto"/>
                  </w:divBdr>
                  <w:divsChild>
                    <w:div w:id="42604748">
                      <w:marLeft w:val="0"/>
                      <w:marRight w:val="0"/>
                      <w:marTop w:val="0"/>
                      <w:marBottom w:val="0"/>
                      <w:divBdr>
                        <w:top w:val="none" w:sz="0" w:space="0" w:color="auto"/>
                        <w:left w:val="none" w:sz="0" w:space="0" w:color="auto"/>
                        <w:bottom w:val="none" w:sz="0" w:space="0" w:color="auto"/>
                        <w:right w:val="none" w:sz="0" w:space="0" w:color="auto"/>
                      </w:divBdr>
                      <w:divsChild>
                        <w:div w:id="12256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lobeandmail.com/world/article-liz-truss-britain-tax-cuts-bonds-pound/" TargetMode="External"/><Relationship Id="rId3" Type="http://schemas.openxmlformats.org/officeDocument/2006/relationships/webSettings" Target="webSettings.xml"/><Relationship Id="rId7" Type="http://schemas.openxmlformats.org/officeDocument/2006/relationships/hyperlink" Target="https://www.theglobeandmail.com/world/article-britain-backs-down-from-controversial-tax-break-for-the-ri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lobeandmail.com/business/economy/interest-rates/" TargetMode="External"/><Relationship Id="rId5" Type="http://schemas.openxmlformats.org/officeDocument/2006/relationships/hyperlink" Target="https://www.theglobeandmail.com/topics/inflation/" TargetMode="External"/><Relationship Id="rId10" Type="http://schemas.openxmlformats.org/officeDocument/2006/relationships/theme" Target="theme/theme1.xml"/><Relationship Id="rId4" Type="http://schemas.openxmlformats.org/officeDocument/2006/relationships/hyperlink" Target="https://www.theglobeandmail.com/authors/david-berma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3849</Characters>
  <Application>Microsoft Office Word</Application>
  <DocSecurity>0</DocSecurity>
  <Lines>32</Lines>
  <Paragraphs>9</Paragraphs>
  <ScaleCrop>false</ScaleCrop>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Moran</dc:creator>
  <cp:keywords/>
  <dc:description/>
  <cp:lastModifiedBy>Derek Moran</cp:lastModifiedBy>
  <cp:revision>2</cp:revision>
  <dcterms:created xsi:type="dcterms:W3CDTF">2022-10-06T14:20:00Z</dcterms:created>
  <dcterms:modified xsi:type="dcterms:W3CDTF">2022-10-06T14:20:00Z</dcterms:modified>
</cp:coreProperties>
</file>